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i w:val="0"/>
          <w:caps w:val="0"/>
          <w:color w:val="auto"/>
          <w:spacing w:val="0"/>
          <w:kern w:val="0"/>
          <w:sz w:val="32"/>
          <w:szCs w:val="32"/>
          <w:shd w:val="clear" w:fill="FFFFFF"/>
          <w:lang w:val="en-US" w:eastAsia="zh-CN" w:bidi="ar"/>
        </w:rPr>
      </w:pPr>
      <w:r>
        <w:rPr>
          <w:rFonts w:hint="eastAsia" w:ascii="微软雅黑" w:hAnsi="微软雅黑" w:eastAsia="微软雅黑" w:cs="微软雅黑"/>
          <w:b/>
          <w:i w:val="0"/>
          <w:caps w:val="0"/>
          <w:color w:val="auto"/>
          <w:spacing w:val="0"/>
          <w:kern w:val="0"/>
          <w:sz w:val="32"/>
          <w:szCs w:val="32"/>
          <w:shd w:val="clear" w:fill="FFFFFF"/>
          <w:lang w:val="en-US" w:eastAsia="zh-CN" w:bidi="ar"/>
        </w:rPr>
        <w:t>国家艺术基金（一般项目）2017年度传播交流推广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i w:val="0"/>
          <w:caps w:val="0"/>
          <w:color w:val="auto"/>
          <w:spacing w:val="0"/>
          <w:kern w:val="0"/>
          <w:sz w:val="32"/>
          <w:szCs w:val="32"/>
          <w:shd w:val="clear" w:fill="FFFFFF"/>
          <w:lang w:val="en-US" w:eastAsia="zh-CN" w:bidi="ar"/>
        </w:rPr>
      </w:pPr>
      <w:r>
        <w:rPr>
          <w:rFonts w:hint="eastAsia" w:ascii="微软雅黑" w:hAnsi="微软雅黑" w:eastAsia="微软雅黑" w:cs="微软雅黑"/>
          <w:b/>
          <w:i w:val="0"/>
          <w:caps w:val="0"/>
          <w:color w:val="auto"/>
          <w:spacing w:val="0"/>
          <w:kern w:val="0"/>
          <w:sz w:val="32"/>
          <w:szCs w:val="32"/>
          <w:shd w:val="clear" w:fill="FFFFFF"/>
          <w:lang w:val="en-US" w:eastAsia="zh-CN" w:bidi="ar"/>
        </w:rPr>
        <w:t>资助项目申报指南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420" w:lineRule="atLeast"/>
        <w:ind w:left="0" w:right="0" w:firstLine="0"/>
        <w:jc w:val="center"/>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shd w:val="clear" w:fill="FFFFFF"/>
          <w:lang w:val="en-US" w:eastAsia="zh-CN" w:bidi="ar"/>
        </w:rPr>
        <w:t>发布者：艺术基金管理员发表时间：2016-11-08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国家艺术基金面向社会受理传播交流推广资助项目的申报，组织专家评审，确定资助项目和资助额度，并实施监管。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根据《国家艺术基金章程》，结合《国家艺术基金项目资助管理办法》《国家艺术基金财务管理办法》，制定本指南。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一、资助对象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本项目资助优秀艺术作品的传播交流推广活动。在满足人民精神文化需求的同时，通过夯实艺术创作基础推动“高峰”涌现。重点资助市场不能有效配置资源的优秀艺术作品传播交流推广活动，发挥引导和示范作用。资助项目应是：坚持“二为”方向和“双百”方针，反映实现中华民族伟大复兴中国梦，培育和弘扬社会主义核心价值观，传承和弘扬中华优秀传统文化，唱响爱国主义主旋律的项目；跟上时代发展、把握人民需求，符合传播规律，体现创新意识，为人民喜闻乐见，公众参与度高的项目；提倡多样化，同时具有较高审美价值、艺术品位和艺术个性，内涵丰厚、方式灵活、手段创新，传统艺术形式与现代科技手段相结合，思想精深、艺术精湛、制作精良的项目。资助的国（境）外传播交流推广项目还应是：传播当代中国价值观念、体现中华文化精神、反映中国人民审美追求，能够讲好“中国故事”，具有国际影响力和竞争力的“走出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二、资助范围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（一）本项目资助范围包括：舞台艺术、美术、书法、摄影、工艺美术、网络文艺（网络演出、网络音乐等）作品的展演、展览等传播交流推广活动。不资助艺术家个人的作品展演展览、纪念活动和节庆赛事等。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（二）申报在国（境）内演出的舞台艺术作品，应是在服务基层、服务群众过程中，深受欢迎，产生过良好社会影响的作品。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（三）申报在国（境）外实施的展演、展览项目，应为国（境）内有代表性艺术家群体或具有较高艺术水准团体的代表作品。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（四）申报传统艺术形式与现代科技手段相结合的项目，应是能够吸引群众广泛参与，更好地满足群众精神文化需求的项目。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（五）申报项目应是在获得艺术基金立项资助，完成立项签约后实施，且能够在2019年10月1日前按要求完成结项验收的项目。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三、资助额度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艺术基金依据艺术门类、规模体量、成本投入等因素，为每个立项资助项目提供不超过500万元的资助资金。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四、资助方式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一）本项目以匹配资助为主。对在国（境）内实施的展演和展览项目，资助资金主要用于补助展馆剧场租赁、交通运输、学术研讨、资料录制和工作人员差旅食宿等费用，不含剧目创排、展品征集、展陈布置和作品保险等费用；对在国（境）外实施的展演和展览项目，资助资金主要用于补助国际间交通运输、资料录制和工作人员国际差旅等费用，不含展馆剧场租赁、剧目创排、展品征集、展陈布置和作品保险等费用；对运用互联网、新媒体等现代科技手段开展传播交流推广的项目，资助资金主要用于补助软件开发、内容制作和工作人员差旅食宿等费用，不含设备购置、创作排演、作品征集、宣传推广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（二）对立项资助项目，艺术基金将先期拨付资助资金总额的70％作为项目实施经费；项目完成并验收合格后，拨付剩余30％的资助资金。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（一）本项目的申报主体为单位或机构。申报项目的单位或机构应同时具备以下条件：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1．2014年1月1日前在中华人民共和国内地同级行政机关登记、注册的单位或机构。因事业单位体制改革重新登记、注册的，登记、注册时间可与改革前连续计算；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2．已经完成了申报项目的前期工作，能够提供详实、可行的工作方案，与展演、展览承接方或软件开发、内容制作方签署的意向协议和已落实资金证明。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（二）由多家单位或机构合作完成的项目，应由其中一家单位或机构作为申报主体进行申报，并由主要合作方在《国家艺术基金（一般项目）2017年度传播交流推广资助项目申报表》上签署同意意见并加盖公章。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三）在国（境）外开展的项目须有国（境）外合作方提供的邀请函。国（境）外合作方应为有实力、有经验、有渠道、有平台、有影响力、有资质的专业机构，能够推广主流内容，安排主流场所，吸引主流观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（四）申报舞台艺术作品在国（境）外的展演项目，应于2017年1月1日前完成作品创作，与国（境）外承接方签署了意向协议，并且落实了部分经费。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（五）申报美术、书法、摄影、工艺美术和网络文艺作品在国（境）内外的展览项目，应于2017年1月1日前完成策展和展品征集，与承接方签署了意向协议，并且落实了部分经费。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六）已获得“2014年度、2015年度国家艺术基金资助项目”的申报主体，在立项项目尚未结项验收前，不得再次申报国家艺术基金资助项目；已获得“2016年度国家艺术基金传播交流推广资助项目”的申报主体，在立项项目尚未结项验收前，不得以相同艺术品种再次申报本年度传播交流推广资助项目，但是可以申报其他艺术品种的传播交流推广资助项目，或申报艺术基金的其他资助项目。已获得“2016年度国家艺术基金大型舞台剧和作品资助项目”立项资助的舞台剧和作品，尚未通过结项验收前，不得申报传播交流推广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六、申报时间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本项目从2016年11月7日起开始申报，至2017年1月1日截止申报。国家艺术基金管理中心在申报期内受理项目申报，并提供相关咨询服务，逾期不予受理。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七、申报程序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一）申报主体在规定的申报受理期内，登录国家艺术基金网站（http：//www．cnaf．cn），通过“国家艺术基金网上申报管理系统”，按要求填写《国家艺术基金（一般项目）2017年度传播交流推广资助项目申报表》，上传申报材料，并将申报表和申报材料邮寄到管理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（二）管理中心将组织有关部门和专家对申报项目进行核查。符合相关规定的予以受理；不符合相关规定以及提供申报材料不全的，不予受理并将通知申报主体。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（三）对申报主体寄送的申报材料，管理中心按规定管理和使用，且不退还，请自行备份底稿。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八、申报材料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（一）《国家艺术基金（一般项目）2017年度传播交流推广资助项目申报表》；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（二）同级行政主管部门颁发的登记、注册证书和组织机构代码证（或统一社会信用代码证书）复印件（须加盖本单位公章），因事业单位体制改革重新登记、注册的应特别注明；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（三）申报展演项目的，应提供《营业性演出许可证》复印件（须加盖本单位公章）；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（四）上一年度财务报表（资产负债表、利润表或收入支出决算表）和本年度6月份社会保险个人权益记录（单位缴费信息）（须加盖本单位公章）；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（五）开展传播交流推广活动的工作方案，与承接展演展览的剧场、展馆或软件开发、节目录制单位签署的意向协议和已落实资金证明；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六）申报凡涉及党和国家领导人，涉及中国共产党历史、中华人民共和国历史、中国人民解放军历史上重大事件、重要人物和重大决策过程的题材或较多地涉及民族宗教内容的项目，须提供省级党委宣传部门、文化行政部门或部队宣传文化主管部门的审读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（七）在国（境）外开展的项目申报前须征得同级文化行政部门的同意，并提供相关证明材料；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（八）展演项目应提供完整的视频文件，展览项目须提供5—10幅有代表性作品的照片；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九）申报材料在网络提交后，须下载、打印并邮寄1份到管理中心。申报材料为文字材料的，要求统一用A4纸型双面印制，装订成册，并在指定位置加盖公章。申报材料中的照片，尺幅应为8—10寸，夹在文字材料内，不要装订在一起。申报材料为照片和音频、视频文件的，须将电子文件存放在U盘中一并邮寄，音频文件的格式应为WAV或MP3，视频文件的格式应为MOV、AVI、FLV或MP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（十）申报材料应于2017年1月1日前邮寄给国家艺术基金管理中心评审部（以邮戳或交寄单为准）。邮寄地址：北京市东城区青龙胡同1号歌华大厦A座16层C-101室，邮编：100007，咨询电话：400－025－9525。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九、签约实施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（一）确定申报项目为立项资助项目后，管理中心将与申报主体签订《国家艺术基金资助项目协议书》。《国家艺术基金（一般项目）2017年度传播交流推广资助项目申报表》作为协议书附件，具有同等约束力。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（二）申报项目立项后，申报主体应同意按照艺术基金安排，参加艺术基金组织的出版、展览、演出等公益性活动。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十、监督验收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（一）资助项目应于2019年10月1日前完成结项验收。如确需延期完成，必须于2019年8月1日前以书面形式向管理中心提出申请，获得批准后方可延期。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二）管理中心将按照《国家艺术基金资助项目监督管理若干规定》，对资助项目实施情况进行监督，并组织专家对资助项目进行结项验收。由多家单位或机构合作完成的项目，申报主体应及时将获得立项资助的信息告知各合作方，负责在实施过程中与各合作方的协调，并作为责任方接受审计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四）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机构和个人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1．申报主体在项目实施过程中，侵犯任何第三方的知识产权及其他合法权益；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2．项目实施内容、经费支出、结项成果等与《国家艺术基金资助项目协议书》的约定存在重大差异；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3．申报主体存在其他弄虚作假、挪用资助资金、违反《国家艺术基金资助项目协议书》等情形；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4．申报主体有其他严重违法违纪行为。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十一、其他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（一）资助项目在实施过程中，应在相关材料显著位置注明该项目为“国家艺术基金资助项目”。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（二）资助项目结项验收时，申报主体应按要求提交完整的成果材料。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（三）艺术基金对申报主体在项目申报、实施过程中与第三方产生的纠纷不承担任何责任。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（四）管理中心对本指南拥有最终解释权。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r>
        <w:rPr>
          <w:rFonts w:hint="default" w:ascii="微软雅黑" w:hAnsi="微软雅黑" w:eastAsia="微软雅黑" w:cs="微软雅黑"/>
          <w:b w:val="0"/>
          <w:i w:val="0"/>
          <w:caps w:val="0"/>
          <w:color w:val="333333"/>
          <w:spacing w:val="0"/>
          <w:sz w:val="24"/>
          <w:szCs w:val="24"/>
          <w:shd w:val="clear" w:fill="FFFFFF"/>
        </w:rPr>
        <w:t>（五）本指南自发布之日起实施。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both"/>
        <w:textAlignment w:val="auto"/>
        <w:outlineLvl w:val="9"/>
        <w:rPr>
          <w:rFonts w:hint="default" w:ascii="微软雅黑" w:hAnsi="微软雅黑" w:eastAsia="微软雅黑" w:cs="微软雅黑"/>
          <w:b w:val="0"/>
          <w:i w:val="0"/>
          <w:caps w:val="0"/>
          <w:color w:val="333333"/>
          <w:spacing w:val="0"/>
          <w:sz w:val="24"/>
          <w:szCs w:val="24"/>
          <w:shd w:val="clear" w:fill="FFFFFF"/>
        </w:rPr>
      </w:pPr>
      <w:bookmarkStart w:id="0" w:name="_GoBack"/>
      <w:bookmarkEnd w:id="0"/>
    </w:p>
    <w:sectPr>
      <w:footerReference r:id="rId3" w:type="default"/>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D350C"/>
    <w:rsid w:val="60E16D89"/>
    <w:rsid w:val="68FD35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2016-11-17T11:41:00Z</dcterms:created>
  <dc:creator>Administrator</dc:creator>
  <cp:lastModifiedBy>Administrator</cp:lastModifiedBy>
  <dcterms:modified xsi:type="dcterms:W3CDTF">2016-11-17T12:08:27Z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